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B19" w:rsidRPr="00037B19" w:rsidRDefault="00037B19" w:rsidP="00037B19">
      <w:pPr>
        <w:pStyle w:val="a3"/>
        <w:rPr>
          <w:rFonts w:ascii="Times New Roman" w:hAnsi="Times New Roman" w:cs="Times New Roman"/>
          <w:lang w:val="ru-RU"/>
        </w:rPr>
      </w:pPr>
      <w:r w:rsidRPr="00037B19">
        <w:rPr>
          <w:rFonts w:ascii="Times New Roman" w:hAnsi="Times New Roman" w:cs="Times New Roman"/>
          <w:lang w:val="ru-RU"/>
        </w:rPr>
        <w:t xml:space="preserve">УДК 902/903  </w:t>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t xml:space="preserve">          https://doi.org/10.24852/2587-6112.2026.4.20.34</w:t>
      </w:r>
    </w:p>
    <w:p w:rsidR="00037B19" w:rsidRDefault="00037B19" w:rsidP="00037B19">
      <w:pPr>
        <w:pStyle w:val="A4"/>
      </w:pPr>
      <w:r>
        <w:t>НОВЫЕ ДАННЫЕ ПО АЛТАТИНСКОЙ ЭНЕОЛИТИЧЕСКОЙ</w:t>
      </w:r>
      <w:r>
        <w:br/>
        <w:t xml:space="preserve">КУЛЬТУРЕ СТЕПНОГО ПОВОЛЖЬЯ (ПО РЕЗУЛЬТАТАМ </w:t>
      </w:r>
      <w:r>
        <w:br/>
        <w:t>ИССЛЕДОВАНИЯ ПОСЕЛЕНИЯ МОНАХОВ I)</w:t>
      </w:r>
    </w:p>
    <w:p w:rsidR="00037B19" w:rsidRDefault="00037B19" w:rsidP="00037B19">
      <w:pPr>
        <w:pStyle w:val="A40"/>
        <w:spacing w:after="170"/>
      </w:pPr>
      <w:r>
        <w:t>© 2026 А.А. Выборнов, Ф.Ф.Гилязов, Н.С. Дога, А.И. Юдин,</w:t>
      </w:r>
      <w:r>
        <w:br/>
        <w:t>М.А. Кулькова, Е.В. Пархомчук</w:t>
      </w:r>
    </w:p>
    <w:p w:rsidR="00037B19" w:rsidRPr="00037B19" w:rsidRDefault="00037B19" w:rsidP="00037B19">
      <w:pPr>
        <w:pStyle w:val="A41"/>
        <w:rPr>
          <w:b/>
          <w:bCs/>
          <w:lang w:val="ru-RU"/>
        </w:rPr>
      </w:pPr>
      <w:r w:rsidRPr="00037B19">
        <w:rPr>
          <w:lang w:val="ru-RU"/>
        </w:rPr>
        <w:t xml:space="preserve">В статье вводятся в научный оборот материалы раскопов 2024-2025 годов поселения Монахов </w:t>
      </w:r>
      <w:r>
        <w:t>I</w:t>
      </w:r>
      <w:r w:rsidRPr="00037B19">
        <w:rPr>
          <w:lang w:val="ru-RU"/>
        </w:rPr>
        <w:t xml:space="preserve"> в Саратовской области и проводится их культурно-хронологическая атрибуция. Получены стратиграфические данные о соотношении комплексов среднего бронзового века и позднего энеолита. Это позволяет чётко объединить посуду, каменный инвентарь и фаунистические остатки меднокаменного века в один комплекс. Сосуды последнего изготовлены из илистой глины с примесью раковины, имеют профилированную и прямостенную форму. Они орнаментированы гребенчатым штампом, прочерками, наколами, вариацией плетёных фактур. Среди узоров представлены горизонтальные ряды, вертикальный зигзаг, шагающая гребёнка. Орудия изготовлены из кварцита на отщепах: концевые и боковые скребки, ножи, бифасиальные наконечники стрел. Аналогичные признаки характерны для алтатинской культуры. Радиоуглеродные даты фиксируют для материалов позднего энеолита 4900 - 4400 лет ВР. Фаунистические остатки представлены как дикими, так и домашними видами животных, что доказывает наличие у носителей алтатинской культуры производящего хозяйства. Обнаружены редкие находки мезолитического и раннеэнеолитического облика.</w:t>
      </w:r>
    </w:p>
    <w:p w:rsidR="00037B19" w:rsidRPr="00037B19" w:rsidRDefault="00037B19" w:rsidP="00037B19">
      <w:pPr>
        <w:pStyle w:val="A41"/>
        <w:rPr>
          <w:lang w:val="ru-RU"/>
        </w:rPr>
      </w:pPr>
      <w:r w:rsidRPr="00037B19">
        <w:rPr>
          <w:b/>
          <w:bCs/>
          <w:lang w:val="ru-RU"/>
        </w:rPr>
        <w:t xml:space="preserve">Ключевые слова: </w:t>
      </w:r>
      <w:r w:rsidRPr="00037B19">
        <w:rPr>
          <w:lang w:val="ru-RU"/>
        </w:rPr>
        <w:t>археология, степное Поволжье, поздний энеолит, керамика, кварцитовый инвентарь, фауна, алтатинская культура, хронология, производящее хозяйство</w:t>
      </w:r>
    </w:p>
    <w:p w:rsidR="00037B19" w:rsidRPr="00037B19" w:rsidRDefault="00037B19" w:rsidP="00037B19">
      <w:pPr>
        <w:pStyle w:val="A41"/>
        <w:rPr>
          <w:lang w:val="ru-RU"/>
        </w:rPr>
      </w:pPr>
    </w:p>
    <w:p w:rsidR="00037B19" w:rsidRPr="00037B19" w:rsidRDefault="00037B19" w:rsidP="00037B19">
      <w:pPr>
        <w:pStyle w:val="A4"/>
        <w:spacing w:after="170"/>
        <w:rPr>
          <w:sz w:val="24"/>
          <w:szCs w:val="24"/>
          <w:lang w:val="en-US"/>
        </w:rPr>
      </w:pPr>
      <w:r w:rsidRPr="00037B19">
        <w:rPr>
          <w:sz w:val="24"/>
          <w:szCs w:val="24"/>
          <w:lang w:val="en-US"/>
        </w:rPr>
        <w:t xml:space="preserve">NEW EVIDENCE ON THE ALTATA ENEOLITHIC CULTURE </w:t>
      </w:r>
      <w:r w:rsidRPr="00037B19">
        <w:rPr>
          <w:sz w:val="24"/>
          <w:szCs w:val="24"/>
          <w:lang w:val="en-US"/>
        </w:rPr>
        <w:br/>
        <w:t>OF THE VOLGA STEPPE REGION</w:t>
      </w:r>
      <w:r w:rsidRPr="00037B19">
        <w:rPr>
          <w:lang w:val="en-US"/>
        </w:rPr>
        <w:t xml:space="preserve"> </w:t>
      </w:r>
      <w:r w:rsidRPr="00037B19">
        <w:rPr>
          <w:sz w:val="24"/>
          <w:szCs w:val="24"/>
          <w:lang w:val="en-US"/>
        </w:rPr>
        <w:t xml:space="preserve">(FOLLOWING THE RESULTS </w:t>
      </w:r>
      <w:r w:rsidRPr="00037B19">
        <w:rPr>
          <w:sz w:val="24"/>
          <w:szCs w:val="24"/>
          <w:lang w:val="en-US"/>
        </w:rPr>
        <w:br/>
        <w:t>OF THE STUDY AT THE MONAKHOV I SITE)</w:t>
      </w:r>
    </w:p>
    <w:p w:rsidR="00037B19" w:rsidRPr="00037B19" w:rsidRDefault="00037B19" w:rsidP="00037B19">
      <w:pPr>
        <w:pStyle w:val="A40"/>
        <w:spacing w:after="170"/>
        <w:rPr>
          <w:lang w:val="en-US"/>
        </w:rPr>
      </w:pPr>
      <w:r w:rsidRPr="00037B19">
        <w:rPr>
          <w:lang w:val="en-US"/>
        </w:rPr>
        <w:t xml:space="preserve">A.A.Vybornov, F.F.Gilyazov, N.S.Doga, A.I.Yudin, </w:t>
      </w:r>
      <w:r w:rsidRPr="00037B19">
        <w:rPr>
          <w:lang w:val="en-US"/>
        </w:rPr>
        <w:br/>
        <w:t>M.A.Kulkova, E.V.Parkhomchuk</w:t>
      </w:r>
    </w:p>
    <w:p w:rsidR="00037B19" w:rsidRDefault="00037B19" w:rsidP="00037B19">
      <w:pPr>
        <w:pStyle w:val="A41"/>
        <w:rPr>
          <w:lang w:val="ru-RU"/>
        </w:rPr>
      </w:pPr>
      <w:r>
        <w:t>This paper presents the results of excavations conducted in 2024–2025 at the Monakhov I site in Saratov Oblast, along with the cultural and chronological attribution of the recovered materials. Stratigraphic data on the ratio of complexes of the Middle Bronze Age and the Late Eneolithic have been obtained. This allows for a clear unification of pottery, lithic tools, and faunal remains from the Copper Age into a single assemblage. The pottery from this complex was made of silty clay with shell-temper. The vessels have profiled and straight-walled shapes, and are decorated with combed stamps, dashes, punctures and variations of braided textures. Patterns include horizontal rows, vertical zigzags, and "stepping comb" motifs. The tools, made of quartzite flakes, include end and side scrapers, knives, and bifacial arrowheads. Similar features are characteristic of the Altata culture. Radiocarbon dates for Late Eneolithic materials range from 4900 to 4400 BP. The fauna includes both wild and domestic animals, demonstrating the existence of a producing economy in the Altata culture. Rare finds of Mesolithic and Early Eneolithic periods were also found at this site.</w:t>
      </w:r>
    </w:p>
    <w:p w:rsidR="000A10C4" w:rsidRDefault="00037B19" w:rsidP="00037B19">
      <w:pPr>
        <w:pStyle w:val="A41"/>
        <w:rPr>
          <w:lang w:val="ru-RU"/>
        </w:rPr>
      </w:pPr>
      <w:r w:rsidRPr="00037B19">
        <w:rPr>
          <w:rStyle w:val="a5"/>
        </w:rPr>
        <w:t>Keywords:</w:t>
      </w:r>
      <w:r w:rsidRPr="00037B19">
        <w:t xml:space="preserve"> archaeology, Steppe Volga River region, Late Eneolithic, pottery, quartzite tools, fauna, Altata culture, chronology, producing economy</w:t>
      </w:r>
    </w:p>
    <w:p w:rsidR="00037B19" w:rsidRDefault="00037B19" w:rsidP="00037B19">
      <w:pPr>
        <w:pStyle w:val="A41"/>
        <w:rPr>
          <w:lang w:val="ru-RU"/>
        </w:rPr>
      </w:pPr>
    </w:p>
    <w:p w:rsidR="00037B19" w:rsidRDefault="00037B19" w:rsidP="00037B19">
      <w:pPr>
        <w:pStyle w:val="A42"/>
      </w:pPr>
      <w:r>
        <w:t>Информация об авторах:</w:t>
      </w:r>
    </w:p>
    <w:p w:rsidR="00037B19" w:rsidRDefault="00037B19" w:rsidP="00037B19">
      <w:pPr>
        <w:pStyle w:val="A43"/>
      </w:pPr>
      <w:r>
        <w:rPr>
          <w:b/>
          <w:bCs/>
        </w:rPr>
        <w:t xml:space="preserve">Выборнов Александр Алексеевич, </w:t>
      </w:r>
      <w:r>
        <w:t xml:space="preserve">доктор исторических наук, профессор, Самарский государственный социально-педагогический университет (г. Самара, Россия); </w:t>
      </w:r>
      <w:r>
        <w:rPr>
          <w:rStyle w:val="a6"/>
          <w:lang w:val="en-US"/>
        </w:rPr>
        <w:t>vibornov</w:t>
      </w:r>
      <w:r>
        <w:rPr>
          <w:rStyle w:val="a6"/>
        </w:rPr>
        <w:t>_</w:t>
      </w:r>
      <w:r>
        <w:rPr>
          <w:rStyle w:val="a6"/>
          <w:lang w:val="en-US"/>
        </w:rPr>
        <w:t>kin</w:t>
      </w:r>
      <w:r>
        <w:rPr>
          <w:rStyle w:val="a6"/>
        </w:rPr>
        <w:t>@</w:t>
      </w:r>
      <w:r>
        <w:rPr>
          <w:rStyle w:val="a6"/>
          <w:lang w:val="en-US"/>
        </w:rPr>
        <w:t>mail</w:t>
      </w:r>
      <w:r>
        <w:rPr>
          <w:rStyle w:val="a6"/>
        </w:rPr>
        <w:t>.</w:t>
      </w:r>
      <w:r>
        <w:rPr>
          <w:rStyle w:val="a6"/>
          <w:lang w:val="en-US"/>
        </w:rPr>
        <w:t>ru</w:t>
      </w:r>
    </w:p>
    <w:p w:rsidR="00037B19" w:rsidRDefault="00037B19" w:rsidP="00037B19">
      <w:pPr>
        <w:pStyle w:val="A43"/>
      </w:pPr>
      <w:r>
        <w:rPr>
          <w:b/>
          <w:bCs/>
        </w:rPr>
        <w:lastRenderedPageBreak/>
        <w:t xml:space="preserve">Гилязов Филат Фаритович, </w:t>
      </w:r>
      <w:r>
        <w:t>научный сотрудник, научно-исследовательская часть, Самарский государственный социально-педагогический университет (г. Самара, Россия); filatgiljazov12@gmail.com.</w:t>
      </w:r>
    </w:p>
    <w:p w:rsidR="00037B19" w:rsidRDefault="00037B19" w:rsidP="00037B19">
      <w:pPr>
        <w:pStyle w:val="A43"/>
      </w:pPr>
      <w:r>
        <w:rPr>
          <w:b/>
          <w:bCs/>
        </w:rPr>
        <w:t xml:space="preserve">Дога Наталья Сергеевна, </w:t>
      </w:r>
      <w:r>
        <w:t xml:space="preserve">кандидат исторических наук, доцент, Самарский государственный социально-педагогический университет (г. Самара, Россия); </w:t>
      </w:r>
      <w:r>
        <w:rPr>
          <w:rStyle w:val="a6"/>
          <w:lang w:val="en-US"/>
        </w:rPr>
        <w:t>natalidoga</w:t>
      </w:r>
      <w:r>
        <w:rPr>
          <w:rStyle w:val="a6"/>
        </w:rPr>
        <w:t>@</w:t>
      </w:r>
      <w:r>
        <w:rPr>
          <w:rStyle w:val="a6"/>
          <w:lang w:val="en-US"/>
        </w:rPr>
        <w:t>yandex</w:t>
      </w:r>
      <w:r>
        <w:rPr>
          <w:rStyle w:val="a6"/>
        </w:rPr>
        <w:t>.</w:t>
      </w:r>
      <w:r>
        <w:rPr>
          <w:rStyle w:val="a6"/>
          <w:lang w:val="en-US"/>
        </w:rPr>
        <w:t>ru</w:t>
      </w:r>
    </w:p>
    <w:p w:rsidR="00037B19" w:rsidRDefault="00037B19" w:rsidP="00037B19">
      <w:pPr>
        <w:pStyle w:val="A43"/>
      </w:pPr>
      <w:r>
        <w:rPr>
          <w:b/>
          <w:bCs/>
        </w:rPr>
        <w:t xml:space="preserve">Юдин Александр Иванович, </w:t>
      </w:r>
      <w:r>
        <w:t xml:space="preserve">доктор исторических наук, заместитель директора по научно-исследовательской работе, Научно-исследовательский центр по сохранению культурного наследия (г. Саратов, Россия); </w:t>
      </w:r>
      <w:r>
        <w:rPr>
          <w:lang w:val="en-US"/>
        </w:rPr>
        <w:t>aleyudin</w:t>
      </w:r>
      <w:r>
        <w:t>@</w:t>
      </w:r>
      <w:r>
        <w:rPr>
          <w:lang w:val="en-US"/>
        </w:rPr>
        <w:t>yandex</w:t>
      </w:r>
      <w:r>
        <w:t>.</w:t>
      </w:r>
      <w:r>
        <w:rPr>
          <w:lang w:val="en-US"/>
        </w:rPr>
        <w:t>ru</w:t>
      </w:r>
      <w:r>
        <w:t>.</w:t>
      </w:r>
    </w:p>
    <w:p w:rsidR="00037B19" w:rsidRDefault="00037B19" w:rsidP="00037B19">
      <w:pPr>
        <w:pStyle w:val="A43"/>
      </w:pPr>
      <w:r>
        <w:rPr>
          <w:b/>
          <w:bCs/>
        </w:rPr>
        <w:t>Кулькова Марианна Алексеевна,</w:t>
      </w:r>
      <w:r>
        <w:t xml:space="preserve"> доктор геолого-минералогических наук, профессор, Российский государственный педагогический университет (г. Санкт-Петербург, Россия); </w:t>
      </w:r>
      <w:r>
        <w:rPr>
          <w:lang w:val="en-US"/>
        </w:rPr>
        <w:t>kulkova</w:t>
      </w:r>
      <w:r>
        <w:t>@</w:t>
      </w:r>
      <w:r>
        <w:rPr>
          <w:lang w:val="en-US"/>
        </w:rPr>
        <w:t>mail</w:t>
      </w:r>
      <w:r>
        <w:t>.</w:t>
      </w:r>
      <w:r>
        <w:rPr>
          <w:lang w:val="en-US"/>
        </w:rPr>
        <w:t>ru</w:t>
      </w:r>
      <w:r>
        <w:t xml:space="preserve"> </w:t>
      </w:r>
    </w:p>
    <w:p w:rsidR="00037B19" w:rsidRDefault="00037B19" w:rsidP="00037B19">
      <w:pPr>
        <w:pStyle w:val="A43"/>
      </w:pPr>
      <w:r>
        <w:rPr>
          <w:b/>
          <w:bCs/>
        </w:rPr>
        <w:t xml:space="preserve">Пархомчук Екатерина Васильевна </w:t>
      </w:r>
      <w:r>
        <w:t xml:space="preserve">Кандидат химических наук, заведующая лабораторией изотопных исследований «AIsotope», Институт археологии и этнографии Сибирского отделения Российской академии наук (г. Новосибирск, Россия); </w:t>
      </w:r>
      <w:r>
        <w:rPr>
          <w:rStyle w:val="a6"/>
          <w:lang w:val="en-US"/>
        </w:rPr>
        <w:t>evparkhom</w:t>
      </w:r>
      <w:r>
        <w:rPr>
          <w:rStyle w:val="a6"/>
        </w:rPr>
        <w:t>@</w:t>
      </w:r>
      <w:r>
        <w:rPr>
          <w:rStyle w:val="a6"/>
          <w:lang w:val="en-US"/>
        </w:rPr>
        <w:t>yandex</w:t>
      </w:r>
      <w:r>
        <w:rPr>
          <w:rStyle w:val="a6"/>
        </w:rPr>
        <w:t>.</w:t>
      </w:r>
      <w:r>
        <w:rPr>
          <w:rStyle w:val="a6"/>
          <w:lang w:val="en-US"/>
        </w:rPr>
        <w:t>ru</w:t>
      </w:r>
      <w:r>
        <w:t xml:space="preserve"> </w:t>
      </w:r>
    </w:p>
    <w:p w:rsidR="00037B19" w:rsidRPr="00037B19" w:rsidRDefault="00037B19" w:rsidP="00037B19">
      <w:pPr>
        <w:pStyle w:val="A43"/>
        <w:rPr>
          <w:u w:color="0563C1"/>
        </w:rPr>
      </w:pPr>
    </w:p>
    <w:p w:rsidR="00037B19" w:rsidRPr="00037B19" w:rsidRDefault="00037B19" w:rsidP="00037B19">
      <w:pPr>
        <w:pStyle w:val="A43"/>
        <w:ind w:firstLine="0"/>
        <w:jc w:val="center"/>
        <w:rPr>
          <w:lang w:val="en-US"/>
        </w:rPr>
      </w:pPr>
      <w:r w:rsidRPr="00037B19">
        <w:rPr>
          <w:b/>
          <w:bCs/>
          <w:lang w:val="en-US"/>
        </w:rPr>
        <w:t>REFERENCES</w:t>
      </w:r>
    </w:p>
    <w:p w:rsidR="00037B19" w:rsidRDefault="00037B19" w:rsidP="00037B19">
      <w:pPr>
        <w:pStyle w:val="A43"/>
        <w:rPr>
          <w:lang w:val="en-US"/>
        </w:rPr>
      </w:pPr>
      <w:r>
        <w:rPr>
          <w:lang w:val="en-US"/>
        </w:rPr>
        <w:t>Vasiliev</w:t>
      </w:r>
      <w:r>
        <w:t>а</w:t>
      </w:r>
      <w:r>
        <w:rPr>
          <w:lang w:val="en-US"/>
        </w:rPr>
        <w:t xml:space="preserve">, I. N. 2010. In Agapov, S. A. (ed.). </w:t>
      </w:r>
      <w:r>
        <w:rPr>
          <w:i/>
          <w:iCs/>
          <w:lang w:val="en-US"/>
        </w:rPr>
        <w:t>Khvalynskie eneoliticheskie mogil'niki i khvalynskaya eneoliticheskaya kul'tura. Issledovaniya materialov (Khvalynsk Eneolithic Burial Grounds and Khvalynsk Eneolithic Culture. Studies of Materials</w:t>
      </w:r>
      <w:r>
        <w:rPr>
          <w:lang w:val="en-US"/>
        </w:rPr>
        <w:t>). Samara: “Povolzh'e” Publ.</w:t>
      </w:r>
      <w:r>
        <w:rPr>
          <w:rStyle w:val="ezkurwreuab5ozgtqnkl"/>
          <w:lang w:val="en-US"/>
        </w:rPr>
        <w:t xml:space="preserve">, 133-152 </w:t>
      </w:r>
      <w:r>
        <w:rPr>
          <w:lang w:val="en-US"/>
        </w:rPr>
        <w:t>(in Russian).</w:t>
      </w:r>
    </w:p>
    <w:p w:rsidR="00037B19" w:rsidRDefault="00037B19" w:rsidP="00037B19">
      <w:pPr>
        <w:pStyle w:val="A43"/>
        <w:rPr>
          <w:i/>
          <w:iCs/>
          <w:lang w:val="en-US"/>
        </w:rPr>
      </w:pPr>
      <w:r>
        <w:rPr>
          <w:lang w:val="en-US"/>
        </w:rPr>
        <w:t xml:space="preserve">Vasilieva, I.N., Korolev, A.I., Shalapinin, A.A. 2020. In Stashenkov, D. A. (ed.). </w:t>
      </w:r>
      <w:r>
        <w:rPr>
          <w:i/>
          <w:iCs/>
          <w:lang w:val="en-US"/>
        </w:rPr>
        <w:t>Samarskii krai v istorii Rossii (Samara Region in the History of Russia)</w:t>
      </w:r>
      <w:r>
        <w:rPr>
          <w:lang w:val="en-US"/>
        </w:rPr>
        <w:t xml:space="preserve"> 7. Samara: Regional Museum of Local Lore, 199–210 (in Russian).</w:t>
      </w:r>
    </w:p>
    <w:p w:rsidR="00037B19" w:rsidRPr="00037B19" w:rsidRDefault="00037B19" w:rsidP="00037B19">
      <w:pPr>
        <w:pStyle w:val="A43"/>
        <w:rPr>
          <w:rStyle w:val="FontStyle11"/>
          <w:lang w:val="en-US"/>
        </w:rPr>
      </w:pPr>
      <w:r>
        <w:rPr>
          <w:rStyle w:val="FontStyle11"/>
          <w:lang w:val="en-US"/>
        </w:rPr>
        <w:t xml:space="preserve">Vybornov, A. A. 2012. In Mochalov, O. D. (eds.). </w:t>
      </w:r>
      <w:r>
        <w:rPr>
          <w:rStyle w:val="FontStyle11"/>
          <w:i/>
          <w:iCs/>
          <w:lang w:val="en-US"/>
        </w:rPr>
        <w:t>Problemy istorii, arkheologii, obrazovaniya (Issues of history, archaeology, education)</w:t>
      </w:r>
      <w:r>
        <w:rPr>
          <w:rStyle w:val="FontStyle11"/>
          <w:lang w:val="en-US"/>
        </w:rPr>
        <w:t xml:space="preserve">. </w:t>
      </w:r>
      <w:r w:rsidRPr="00037B19">
        <w:rPr>
          <w:rStyle w:val="FontStyle11"/>
          <w:lang w:val="en-US"/>
        </w:rPr>
        <w:t>Samara: Volga State Social and Humanitarian Academy, 15–31 (in Russian).</w:t>
      </w:r>
    </w:p>
    <w:p w:rsidR="00037B19" w:rsidRPr="00037B19" w:rsidRDefault="00037B19" w:rsidP="00037B19">
      <w:pPr>
        <w:pStyle w:val="A43"/>
        <w:rPr>
          <w:i/>
          <w:iCs/>
          <w:lang w:val="en-US"/>
        </w:rPr>
      </w:pPr>
      <w:r w:rsidRPr="00037B19">
        <w:rPr>
          <w:lang w:val="en-US"/>
        </w:rPr>
        <w:t xml:space="preserve">Gey, A. N. 2025. In Makarov, N.A. (ed.). </w:t>
      </w:r>
      <w:r w:rsidRPr="00037B19">
        <w:rPr>
          <w:i/>
          <w:iCs/>
          <w:lang w:val="en-US"/>
        </w:rPr>
        <w:t>Istoriia Rossii (The H</w:t>
      </w:r>
      <w:r w:rsidRPr="00037B19">
        <w:rPr>
          <w:rStyle w:val="ypks7kbdpwfgdykd3qb9"/>
          <w:i/>
          <w:iCs/>
          <w:lang w:val="en-US"/>
        </w:rPr>
        <w:t>istory</w:t>
      </w:r>
      <w:r w:rsidRPr="00037B19">
        <w:rPr>
          <w:i/>
          <w:iCs/>
          <w:lang w:val="en-US"/>
        </w:rPr>
        <w:t xml:space="preserve"> of </w:t>
      </w:r>
      <w:r w:rsidRPr="00037B19">
        <w:rPr>
          <w:rStyle w:val="ypks7kbdpwfgdykd3qb9"/>
          <w:i/>
          <w:iCs/>
          <w:lang w:val="en-US"/>
        </w:rPr>
        <w:t>Russia</w:t>
      </w:r>
      <w:r w:rsidRPr="00037B19">
        <w:rPr>
          <w:i/>
          <w:iCs/>
          <w:lang w:val="en-US"/>
        </w:rPr>
        <w:t>).</w:t>
      </w:r>
      <w:r w:rsidRPr="00037B19">
        <w:rPr>
          <w:lang w:val="en-US"/>
        </w:rPr>
        <w:t xml:space="preserve"> Vol. I. Moscow: “Nauka” Publ., 438–458 (in Russian).</w:t>
      </w:r>
    </w:p>
    <w:p w:rsidR="00037B19" w:rsidRPr="00037B19" w:rsidRDefault="00037B19" w:rsidP="00037B19">
      <w:pPr>
        <w:pStyle w:val="A43"/>
        <w:rPr>
          <w:i/>
          <w:iCs/>
          <w:lang w:val="en-US"/>
        </w:rPr>
      </w:pPr>
      <w:r w:rsidRPr="00037B19">
        <w:rPr>
          <w:lang w:val="en-US"/>
        </w:rPr>
        <w:t xml:space="preserve">Dergachev, V. A. 2025. </w:t>
      </w:r>
      <w:r w:rsidRPr="00037B19">
        <w:rPr>
          <w:i/>
          <w:iCs/>
          <w:lang w:val="en-US"/>
        </w:rPr>
        <w:t xml:space="preserve">Iamnaia kultura Karpato-Podunavia </w:t>
      </w:r>
      <w:r w:rsidRPr="00037B19">
        <w:rPr>
          <w:rStyle w:val="t"/>
          <w:i/>
          <w:iCs/>
          <w:lang w:val="en-US"/>
        </w:rPr>
        <w:t>(Y</w:t>
      </w:r>
      <w:r w:rsidRPr="00037B19">
        <w:rPr>
          <w:rStyle w:val="t"/>
          <w:i/>
          <w:iCs/>
          <w:spacing w:val="-13"/>
          <w:lang w:val="en-US"/>
        </w:rPr>
        <w:t xml:space="preserve">amnaya </w:t>
      </w:r>
      <w:r w:rsidRPr="00037B19">
        <w:rPr>
          <w:rStyle w:val="t"/>
          <w:i/>
          <w:iCs/>
          <w:spacing w:val="-9"/>
          <w:lang w:val="en-US"/>
        </w:rPr>
        <w:t>Culture o</w:t>
      </w:r>
      <w:r w:rsidRPr="00037B19">
        <w:rPr>
          <w:rStyle w:val="t"/>
          <w:i/>
          <w:iCs/>
          <w:spacing w:val="-6"/>
          <w:lang w:val="en-US"/>
        </w:rPr>
        <w:t xml:space="preserve">f the </w:t>
      </w:r>
      <w:r w:rsidRPr="00037B19">
        <w:rPr>
          <w:rStyle w:val="t"/>
          <w:i/>
          <w:iCs/>
          <w:lang w:val="en-US"/>
        </w:rPr>
        <w:t>C</w:t>
      </w:r>
      <w:r w:rsidRPr="00037B19">
        <w:rPr>
          <w:rStyle w:val="t"/>
          <w:i/>
          <w:iCs/>
          <w:spacing w:val="-9"/>
          <w:lang w:val="en-US"/>
        </w:rPr>
        <w:t>arpathian</w:t>
      </w:r>
      <w:r w:rsidRPr="00037B19">
        <w:rPr>
          <w:rStyle w:val="t"/>
          <w:i/>
          <w:iCs/>
          <w:spacing w:val="-2"/>
          <w:lang w:val="en-US"/>
        </w:rPr>
        <w:t>-D</w:t>
      </w:r>
      <w:r w:rsidRPr="00037B19">
        <w:rPr>
          <w:rStyle w:val="t"/>
          <w:i/>
          <w:iCs/>
          <w:spacing w:val="-6"/>
          <w:lang w:val="en-US"/>
        </w:rPr>
        <w:t>anube Region)</w:t>
      </w:r>
      <w:r w:rsidRPr="00037B19">
        <w:rPr>
          <w:rStyle w:val="t"/>
          <w:spacing w:val="-6"/>
          <w:lang w:val="en-US"/>
        </w:rPr>
        <w:t xml:space="preserve"> Vol. 2. Chisinau</w:t>
      </w:r>
      <w:r w:rsidRPr="00037B19">
        <w:rPr>
          <w:lang w:val="en-US"/>
        </w:rPr>
        <w:t>: “Stratum plus” Publ. (in Russian).</w:t>
      </w:r>
    </w:p>
    <w:p w:rsidR="00037B19" w:rsidRPr="00037B19" w:rsidRDefault="00037B19" w:rsidP="00037B19">
      <w:pPr>
        <w:pStyle w:val="A43"/>
        <w:rPr>
          <w:lang w:val="en-US"/>
        </w:rPr>
      </w:pPr>
      <w:r w:rsidRPr="00037B19">
        <w:rPr>
          <w:lang w:val="en-US"/>
        </w:rPr>
        <w:t xml:space="preserve">Doga, N. S. 2024. </w:t>
      </w:r>
      <w:r w:rsidRPr="00037B19">
        <w:rPr>
          <w:i/>
          <w:iCs/>
          <w:lang w:val="en-US"/>
        </w:rPr>
        <w:t>Eneolitizatsiia Nizhnego Povolzhia (Eneoliticization of the Lower Volga region).</w:t>
      </w:r>
      <w:r w:rsidRPr="00037B19">
        <w:rPr>
          <w:lang w:val="en-US"/>
        </w:rPr>
        <w:t xml:space="preserve"> Thesis of Diss. of Candidate of Historical Sciences. Kazan (in Russian).</w:t>
      </w:r>
    </w:p>
    <w:p w:rsidR="00037B19" w:rsidRDefault="00037B19" w:rsidP="00037B19">
      <w:pPr>
        <w:pStyle w:val="A43"/>
        <w:rPr>
          <w:lang w:val="en-US"/>
        </w:rPr>
      </w:pPr>
      <w:r>
        <w:rPr>
          <w:lang w:val="en-US"/>
        </w:rPr>
        <w:t xml:space="preserve">Dubiagin, P.S., </w:t>
      </w:r>
      <w:r>
        <w:t>С</w:t>
      </w:r>
      <w:r>
        <w:rPr>
          <w:lang w:val="en-US"/>
        </w:rPr>
        <w:t xml:space="preserve">hikrizov, F.D., </w:t>
      </w:r>
      <w:r>
        <w:t>С</w:t>
      </w:r>
      <w:r>
        <w:rPr>
          <w:lang w:val="en-US"/>
        </w:rPr>
        <w:t xml:space="preserve">hurinov, V.A.,Vasiliev, I.B., Vybornov, A.A.1982. In Merpert, N.Ya. (ed.) Volgo-Uralskaia step i lesostep v epokhu rannego metalla </w:t>
      </w:r>
      <w:r>
        <w:rPr>
          <w:i/>
          <w:iCs/>
          <w:lang w:val="en-US"/>
        </w:rPr>
        <w:t>(The Volga-</w:t>
      </w:r>
      <w:r>
        <w:rPr>
          <w:rStyle w:val="ypks7kbdpwfgdykd3qb9"/>
          <w:i/>
          <w:iCs/>
          <w:lang w:val="en-US"/>
        </w:rPr>
        <w:t>Urals</w:t>
      </w:r>
      <w:r>
        <w:rPr>
          <w:i/>
          <w:iCs/>
          <w:lang w:val="en-US"/>
        </w:rPr>
        <w:t xml:space="preserve"> </w:t>
      </w:r>
      <w:r>
        <w:rPr>
          <w:rStyle w:val="ypks7kbdpwfgdykd3qb9"/>
          <w:i/>
          <w:iCs/>
          <w:lang w:val="en-US"/>
        </w:rPr>
        <w:t>steppe</w:t>
      </w:r>
      <w:r>
        <w:rPr>
          <w:i/>
          <w:iCs/>
          <w:lang w:val="en-US"/>
        </w:rPr>
        <w:t xml:space="preserve"> </w:t>
      </w:r>
      <w:r>
        <w:rPr>
          <w:rStyle w:val="ypks7kbdpwfgdykd3qb9"/>
          <w:i/>
          <w:iCs/>
          <w:lang w:val="en-US"/>
        </w:rPr>
        <w:t>and</w:t>
      </w:r>
      <w:r>
        <w:rPr>
          <w:i/>
          <w:iCs/>
          <w:lang w:val="en-US"/>
        </w:rPr>
        <w:t xml:space="preserve"> the forest </w:t>
      </w:r>
      <w:r>
        <w:rPr>
          <w:rStyle w:val="ypks7kbdpwfgdykd3qb9"/>
          <w:i/>
          <w:iCs/>
          <w:lang w:val="en-US"/>
        </w:rPr>
        <w:t>steppe</w:t>
      </w:r>
      <w:r>
        <w:rPr>
          <w:i/>
          <w:iCs/>
          <w:lang w:val="en-US"/>
        </w:rPr>
        <w:t xml:space="preserve"> </w:t>
      </w:r>
      <w:r>
        <w:rPr>
          <w:rStyle w:val="ypks7kbdpwfgdykd3qb9"/>
          <w:i/>
          <w:iCs/>
          <w:lang w:val="en-US"/>
        </w:rPr>
        <w:t>in</w:t>
      </w:r>
      <w:r>
        <w:rPr>
          <w:i/>
          <w:iCs/>
          <w:lang w:val="en-US"/>
        </w:rPr>
        <w:t xml:space="preserve"> the </w:t>
      </w:r>
      <w:r>
        <w:rPr>
          <w:rStyle w:val="ypks7kbdpwfgdykd3qb9"/>
          <w:i/>
          <w:iCs/>
          <w:lang w:val="en-US"/>
        </w:rPr>
        <w:t>era</w:t>
      </w:r>
      <w:r>
        <w:rPr>
          <w:i/>
          <w:iCs/>
          <w:lang w:val="en-US"/>
        </w:rPr>
        <w:t xml:space="preserve"> of </w:t>
      </w:r>
      <w:r>
        <w:rPr>
          <w:rStyle w:val="ypks7kbdpwfgdykd3qb9"/>
          <w:i/>
          <w:iCs/>
          <w:lang w:val="en-US"/>
        </w:rPr>
        <w:t>early</w:t>
      </w:r>
      <w:r>
        <w:rPr>
          <w:i/>
          <w:iCs/>
          <w:lang w:val="en-US"/>
        </w:rPr>
        <w:t xml:space="preserve"> </w:t>
      </w:r>
      <w:r>
        <w:rPr>
          <w:rStyle w:val="ypks7kbdpwfgdykd3qb9"/>
          <w:i/>
          <w:iCs/>
          <w:lang w:val="en-US"/>
        </w:rPr>
        <w:t>metal</w:t>
      </w:r>
      <w:r>
        <w:rPr>
          <w:i/>
          <w:iCs/>
          <w:lang w:val="en-US"/>
        </w:rPr>
        <w:t xml:space="preserve">). </w:t>
      </w:r>
      <w:r>
        <w:rPr>
          <w:lang w:val="en-US"/>
        </w:rPr>
        <w:t>Kuibyshev: Kuibyshev State Pedagogical Institute, 95–134 (in Russian).</w:t>
      </w:r>
    </w:p>
    <w:p w:rsidR="00037B19" w:rsidRDefault="00037B19" w:rsidP="00037B19">
      <w:pPr>
        <w:pStyle w:val="A43"/>
        <w:rPr>
          <w:lang w:val="en-US"/>
        </w:rPr>
      </w:pPr>
      <w:r>
        <w:rPr>
          <w:lang w:val="en-US"/>
        </w:rPr>
        <w:t xml:space="preserve">Kiyashko, </w:t>
      </w:r>
      <w:r>
        <w:t>А</w:t>
      </w:r>
      <w:r>
        <w:rPr>
          <w:lang w:val="en-US"/>
        </w:rPr>
        <w:t xml:space="preserve">. V. 2024. In </w:t>
      </w:r>
      <w:r>
        <w:rPr>
          <w:i/>
          <w:iCs/>
          <w:lang w:val="en-US"/>
        </w:rPr>
        <w:t>Nizhnevolzhskiy Arkheologicheskiy Vestnik (The Lower Volga Archaeological Bulletin)</w:t>
      </w:r>
      <w:r>
        <w:rPr>
          <w:lang w:val="en-US"/>
        </w:rPr>
        <w:t xml:space="preserve"> 4 (23), 127–155 (in Russian).</w:t>
      </w:r>
    </w:p>
    <w:p w:rsidR="00037B19" w:rsidRDefault="00037B19" w:rsidP="00037B19">
      <w:pPr>
        <w:pStyle w:val="A43"/>
        <w:rPr>
          <w:lang w:val="en-US"/>
        </w:rPr>
      </w:pPr>
      <w:r>
        <w:rPr>
          <w:lang w:val="en-US"/>
        </w:rPr>
        <w:t xml:space="preserve">Kiyashko, V. Ya. 1994. </w:t>
      </w:r>
      <w:r>
        <w:rPr>
          <w:i/>
          <w:iCs/>
          <w:lang w:val="en-US"/>
        </w:rPr>
        <w:t>Mezhdu kamnem i bronzoy (</w:t>
      </w:r>
      <w:r>
        <w:rPr>
          <w:rStyle w:val="ypks7kbdpwfgdykd3qb9"/>
          <w:i/>
          <w:iCs/>
          <w:lang w:val="en-US"/>
        </w:rPr>
        <w:t>Between</w:t>
      </w:r>
      <w:r>
        <w:rPr>
          <w:i/>
          <w:iCs/>
          <w:lang w:val="en-US"/>
        </w:rPr>
        <w:t xml:space="preserve"> the S</w:t>
      </w:r>
      <w:r>
        <w:rPr>
          <w:rStyle w:val="ypks7kbdpwfgdykd3qb9"/>
          <w:i/>
          <w:iCs/>
          <w:lang w:val="en-US"/>
        </w:rPr>
        <w:t>tone</w:t>
      </w:r>
      <w:r>
        <w:rPr>
          <w:i/>
          <w:iCs/>
          <w:lang w:val="en-US"/>
        </w:rPr>
        <w:t xml:space="preserve"> </w:t>
      </w:r>
      <w:r>
        <w:rPr>
          <w:rStyle w:val="ypks7kbdpwfgdykd3qb9"/>
          <w:i/>
          <w:iCs/>
          <w:lang w:val="en-US"/>
        </w:rPr>
        <w:t>and</w:t>
      </w:r>
      <w:r>
        <w:rPr>
          <w:i/>
          <w:iCs/>
          <w:lang w:val="en-US"/>
        </w:rPr>
        <w:t xml:space="preserve"> B</w:t>
      </w:r>
      <w:r>
        <w:rPr>
          <w:rStyle w:val="ypks7kbdpwfgdykd3qb9"/>
          <w:i/>
          <w:iCs/>
          <w:lang w:val="en-US"/>
        </w:rPr>
        <w:t>ronze</w:t>
      </w:r>
      <w:r>
        <w:rPr>
          <w:i/>
          <w:iCs/>
          <w:lang w:val="en-US"/>
        </w:rPr>
        <w:t>).</w:t>
      </w:r>
      <w:r>
        <w:rPr>
          <w:lang w:val="en-US"/>
        </w:rPr>
        <w:t xml:space="preserve"> Azov: Azov Historical-Archaeological and Palaeontological Open-Air Museum (in Russian).</w:t>
      </w:r>
    </w:p>
    <w:p w:rsidR="00037B19" w:rsidRDefault="00037B19" w:rsidP="00037B19">
      <w:pPr>
        <w:pStyle w:val="A43"/>
        <w:rPr>
          <w:lang w:val="en-US"/>
        </w:rPr>
      </w:pPr>
      <w:r>
        <w:t>Ко</w:t>
      </w:r>
      <w:r>
        <w:rPr>
          <w:lang w:val="en-US"/>
        </w:rPr>
        <w:t xml:space="preserve">tova, N. S. 2013. </w:t>
      </w:r>
      <w:r>
        <w:rPr>
          <w:i/>
          <w:iCs/>
          <w:lang w:val="en-US"/>
        </w:rPr>
        <w:t>Dereivskaya kultura i pamyatniki nizhnemihaylovskogo tipa (</w:t>
      </w:r>
      <w:r>
        <w:rPr>
          <w:rStyle w:val="ypks7kbdpwfgdykd3qb9"/>
          <w:i/>
          <w:iCs/>
          <w:lang w:val="en-US"/>
        </w:rPr>
        <w:t>Dereivka</w:t>
      </w:r>
      <w:r>
        <w:rPr>
          <w:i/>
          <w:iCs/>
          <w:lang w:val="en-US"/>
        </w:rPr>
        <w:t xml:space="preserve"> </w:t>
      </w:r>
      <w:r>
        <w:rPr>
          <w:rStyle w:val="ypks7kbdpwfgdykd3qb9"/>
          <w:i/>
          <w:iCs/>
          <w:lang w:val="en-US"/>
        </w:rPr>
        <w:t>culture</w:t>
      </w:r>
      <w:r>
        <w:rPr>
          <w:i/>
          <w:iCs/>
          <w:lang w:val="en-US"/>
        </w:rPr>
        <w:t xml:space="preserve"> </w:t>
      </w:r>
      <w:r>
        <w:rPr>
          <w:rStyle w:val="ypks7kbdpwfgdykd3qb9"/>
          <w:i/>
          <w:iCs/>
          <w:lang w:val="en-US"/>
        </w:rPr>
        <w:t>and</w:t>
      </w:r>
      <w:r>
        <w:rPr>
          <w:i/>
          <w:iCs/>
          <w:lang w:val="en-US"/>
        </w:rPr>
        <w:t xml:space="preserve"> sites of the Lower </w:t>
      </w:r>
      <w:r>
        <w:rPr>
          <w:rStyle w:val="ypks7kbdpwfgdykd3qb9"/>
          <w:i/>
          <w:iCs/>
          <w:lang w:val="en-US"/>
        </w:rPr>
        <w:t>Mikhaylovka</w:t>
      </w:r>
      <w:r>
        <w:rPr>
          <w:i/>
          <w:iCs/>
          <w:lang w:val="en-US"/>
        </w:rPr>
        <w:t xml:space="preserve"> </w:t>
      </w:r>
      <w:r>
        <w:rPr>
          <w:rStyle w:val="ypks7kbdpwfgdykd3qb9"/>
          <w:i/>
          <w:iCs/>
          <w:lang w:val="en-US"/>
        </w:rPr>
        <w:t>type</w:t>
      </w:r>
      <w:r>
        <w:rPr>
          <w:i/>
          <w:iCs/>
          <w:lang w:val="en-US"/>
        </w:rPr>
        <w:t>)</w:t>
      </w:r>
      <w:r>
        <w:rPr>
          <w:lang w:val="en-US"/>
        </w:rPr>
        <w:t>. Kiev; Kharkov: “</w:t>
      </w:r>
      <w:r>
        <w:t>Ма</w:t>
      </w:r>
      <w:r>
        <w:rPr>
          <w:lang w:val="en-US"/>
        </w:rPr>
        <w:t>ydan” Publ. (in Russian).</w:t>
      </w:r>
    </w:p>
    <w:p w:rsidR="00037B19" w:rsidRPr="00037B19" w:rsidRDefault="00037B19" w:rsidP="00037B19">
      <w:pPr>
        <w:pStyle w:val="A43"/>
        <w:rPr>
          <w:lang w:val="en-US"/>
        </w:rPr>
      </w:pPr>
      <w:r w:rsidRPr="00037B19">
        <w:rPr>
          <w:lang w:val="en-US"/>
        </w:rPr>
        <w:t xml:space="preserve">Kuznetsov, P. F., Mochalov, O. D., Khokhlov, A. A., Antony, D. W. 2018. </w:t>
      </w:r>
      <w:r w:rsidRPr="00037B19">
        <w:rPr>
          <w:i/>
          <w:iCs/>
          <w:lang w:val="en-US"/>
        </w:rPr>
        <w:t xml:space="preserve">Grachevskie kurgany. Arkheologiya, antropologiya, genomnyy analiz (Grachyovka barrows. Archaeology, anthropology, genomic analysis). </w:t>
      </w:r>
      <w:r w:rsidRPr="00037B19">
        <w:rPr>
          <w:lang w:val="en-US"/>
        </w:rPr>
        <w:t>Samara: Samara State Pedagogical University (in Russian).</w:t>
      </w:r>
    </w:p>
    <w:p w:rsidR="00037B19" w:rsidRDefault="00037B19" w:rsidP="00037B19">
      <w:pPr>
        <w:pStyle w:val="A43"/>
        <w:rPr>
          <w:lang w:val="en-US"/>
        </w:rPr>
      </w:pPr>
      <w:r>
        <w:t>Ма</w:t>
      </w:r>
      <w:r>
        <w:rPr>
          <w:lang w:val="en-US"/>
        </w:rPr>
        <w:t xml:space="preserve">lov, N. M. 2008. In Lopatin, V. A. (ed.). </w:t>
      </w:r>
      <w:r>
        <w:rPr>
          <w:i/>
          <w:iCs/>
          <w:lang w:val="en-US"/>
        </w:rPr>
        <w:t>Arkheologiia Vostochnoevropeiskoi lesostepi (Archaeology of the East-European Forest-Steppe Zone)</w:t>
      </w:r>
      <w:r>
        <w:rPr>
          <w:lang w:val="en-US"/>
        </w:rPr>
        <w:t xml:space="preserve"> 6. Saratov: Saratov State University, 32–134 (in Russian).</w:t>
      </w:r>
    </w:p>
    <w:p w:rsidR="00037B19" w:rsidRDefault="00037B19" w:rsidP="00037B19">
      <w:pPr>
        <w:pStyle w:val="A43"/>
        <w:rPr>
          <w:lang w:val="en-US"/>
        </w:rPr>
      </w:pPr>
      <w:r>
        <w:t>Ма</w:t>
      </w:r>
      <w:r>
        <w:rPr>
          <w:lang w:val="en-US"/>
        </w:rPr>
        <w:t xml:space="preserve">lov, N. </w:t>
      </w:r>
      <w:r>
        <w:t>М</w:t>
      </w:r>
      <w:r>
        <w:rPr>
          <w:lang w:val="en-US"/>
        </w:rPr>
        <w:t xml:space="preserve">., Filipchenko, V. V. 1995. In Masson, V. M. (ed.). </w:t>
      </w:r>
      <w:r>
        <w:rPr>
          <w:i/>
          <w:iCs/>
          <w:lang w:val="en-US"/>
        </w:rPr>
        <w:t>Arkheologicheskie vesti (Archaeological News)</w:t>
      </w:r>
      <w:r>
        <w:rPr>
          <w:lang w:val="en-US"/>
        </w:rPr>
        <w:t xml:space="preserve"> (4). Saint Petersburg: Institute for the History of Material Culture, Russian Academy of Sciences, 52–62 (in Russian).</w:t>
      </w:r>
    </w:p>
    <w:p w:rsidR="00037B19" w:rsidRDefault="00037B19" w:rsidP="00037B19">
      <w:pPr>
        <w:pStyle w:val="A43"/>
      </w:pPr>
      <w:r w:rsidRPr="00037B19">
        <w:rPr>
          <w:lang w:val="en-US"/>
        </w:rPr>
        <w:t xml:space="preserve">Merpert, N. Ya. 1974. </w:t>
      </w:r>
      <w:r w:rsidRPr="00037B19">
        <w:rPr>
          <w:i/>
          <w:iCs/>
          <w:lang w:val="en-US"/>
        </w:rPr>
        <w:t>Drevneishie skotovody Volzhsko-Ural'skogo mezhdurech'ya (The Oldest Herdsmen of the Volga-Ural Interfluve)</w:t>
      </w:r>
      <w:r w:rsidRPr="00037B19">
        <w:rPr>
          <w:lang w:val="en-US"/>
        </w:rPr>
        <w:t xml:space="preserve">. </w:t>
      </w:r>
      <w:r>
        <w:t>Moscow: “Nauka” Publ. (in Russian).</w:t>
      </w:r>
    </w:p>
    <w:p w:rsidR="00037B19" w:rsidRDefault="00037B19" w:rsidP="00037B19">
      <w:pPr>
        <w:pStyle w:val="A43"/>
      </w:pPr>
      <w:r>
        <w:lastRenderedPageBreak/>
        <w:t xml:space="preserve">Poplevko, G. N. 2007. </w:t>
      </w:r>
      <w:r>
        <w:rPr>
          <w:i/>
          <w:iCs/>
        </w:rPr>
        <w:t>Metodika kompleksnogo issledovaniia kamennykh industrii (Methodology of the Complex Research of Stone Industries)</w:t>
      </w:r>
      <w:r>
        <w:t>. Saint Petersburg: “Dmitrii Bulanin” Publ. (in Russian).</w:t>
      </w:r>
    </w:p>
    <w:p w:rsidR="00037B19" w:rsidRDefault="00037B19" w:rsidP="00037B19">
      <w:pPr>
        <w:pStyle w:val="A43"/>
        <w:rPr>
          <w:lang w:val="en-US"/>
        </w:rPr>
      </w:pPr>
      <w:r>
        <w:rPr>
          <w:lang w:val="en-US"/>
        </w:rPr>
        <w:t xml:space="preserve">Stavitskiy, V. V. 2002. </w:t>
      </w:r>
      <w:r>
        <w:rPr>
          <w:lang w:val="it-IT"/>
        </w:rPr>
        <w:t xml:space="preserve">In Kiyashko, V. Ya. (ed.). </w:t>
      </w:r>
      <w:r>
        <w:rPr>
          <w:i/>
          <w:iCs/>
          <w:lang w:val="en-US"/>
        </w:rPr>
        <w:t xml:space="preserve">Arkheologicheskie zapiski </w:t>
      </w:r>
      <w:r>
        <w:rPr>
          <w:lang w:val="en-US"/>
        </w:rPr>
        <w:t>(</w:t>
      </w:r>
      <w:r>
        <w:rPr>
          <w:i/>
          <w:iCs/>
          <w:lang w:val="en-US"/>
        </w:rPr>
        <w:t>Archaeological Notes</w:t>
      </w:r>
      <w:r>
        <w:rPr>
          <w:lang w:val="en-US"/>
        </w:rPr>
        <w:t>) 2. Rostov-on-Don: “Don archaeological society” Publ., 91–103 (in Russian).</w:t>
      </w:r>
    </w:p>
    <w:p w:rsidR="00037B19" w:rsidRDefault="00037B19" w:rsidP="00037B19">
      <w:pPr>
        <w:pStyle w:val="A43"/>
      </w:pPr>
      <w:r>
        <w:t xml:space="preserve">Shalapinin, A. A. 2011. </w:t>
      </w:r>
      <w:r>
        <w:rPr>
          <w:i/>
          <w:iCs/>
        </w:rPr>
        <w:t>Kul'turno-khronologicheskoe sootnoshenie pozdneeneoliticheskikh kompleksov Srednego Povolzh'ia (Cultural and Chronological Correlation between Late Eneolithic Complexes of the Middle Volga Region)</w:t>
      </w:r>
      <w:r>
        <w:t>. Thesis of Diss. of Candidate of Historical Sciences. Izhevsk (in Russian).</w:t>
      </w:r>
    </w:p>
    <w:p w:rsidR="00037B19" w:rsidRDefault="00037B19" w:rsidP="00037B19">
      <w:pPr>
        <w:pStyle w:val="A43"/>
        <w:rPr>
          <w:lang w:val="en-US"/>
        </w:rPr>
      </w:pPr>
      <w:r>
        <w:rPr>
          <w:lang w:val="en-US"/>
        </w:rPr>
        <w:t xml:space="preserve">Yudin, A. I. 1986. In Merpert, N. Ya. (ed.). </w:t>
      </w:r>
      <w:r>
        <w:rPr>
          <w:i/>
          <w:iCs/>
          <w:lang w:val="en-US"/>
        </w:rPr>
        <w:t>Drevnie kul'tury Severnogo Prikaspiya (Ancient cultures of the Northern Pre-Caspian Region)</w:t>
      </w:r>
      <w:r>
        <w:rPr>
          <w:lang w:val="en-US"/>
        </w:rPr>
        <w:t xml:space="preserve">. Kuybyshev: Kuybyshev State Pedagogical Institute, </w:t>
      </w:r>
      <w:r>
        <w:t>36–56</w:t>
      </w:r>
      <w:r>
        <w:rPr>
          <w:lang w:val="en-US"/>
        </w:rPr>
        <w:t xml:space="preserve"> (in Russian).</w:t>
      </w:r>
    </w:p>
    <w:p w:rsidR="00037B19" w:rsidRDefault="00037B19" w:rsidP="00037B19">
      <w:pPr>
        <w:pStyle w:val="A43"/>
        <w:rPr>
          <w:i/>
          <w:iCs/>
        </w:rPr>
      </w:pPr>
      <w:r>
        <w:rPr>
          <w:lang w:val="en-US"/>
        </w:rPr>
        <w:t xml:space="preserve">Yudin, A. I. 2010. In Kamenetskii, I. S., Sorokin, A. N. (eds.). </w:t>
      </w:r>
      <w:r>
        <w:rPr>
          <w:i/>
          <w:iCs/>
          <w:lang w:val="en-US"/>
        </w:rPr>
        <w:t>Chelovek i drevnosti: Pamiati Aleksandra Aleksandrovicha Formozova (1928–2009) (Man and Antiquities: In memory of Alexander Alexandrovich Formozov (1928-2009))</w:t>
      </w:r>
      <w:r>
        <w:rPr>
          <w:lang w:val="en-US"/>
        </w:rPr>
        <w:t xml:space="preserve">. Moscow: “Grif i K” Publ., </w:t>
      </w:r>
      <w:r>
        <w:t>363–380</w:t>
      </w:r>
      <w:r>
        <w:rPr>
          <w:lang w:val="en-US"/>
        </w:rPr>
        <w:t xml:space="preserve"> (in Russian). </w:t>
      </w:r>
    </w:p>
    <w:p w:rsidR="00037B19" w:rsidRDefault="00037B19" w:rsidP="00037B19">
      <w:pPr>
        <w:pStyle w:val="A43"/>
      </w:pPr>
      <w:r>
        <w:rPr>
          <w:lang w:val="en-US"/>
        </w:rPr>
        <w:t xml:space="preserve">Yudin, A. I. 2012. </w:t>
      </w:r>
      <w:r>
        <w:rPr>
          <w:i/>
          <w:iCs/>
          <w:lang w:val="en-US"/>
        </w:rPr>
        <w:t>Poselenie Kumyska i eneolit stepnogo Povolzh'ia (Kumyska Settlement and the Eneolithic of the Steppe Volga Region)</w:t>
      </w:r>
      <w:r>
        <w:rPr>
          <w:lang w:val="en-US"/>
        </w:rPr>
        <w:t>. Saratov: “Nauchnaia kniga” Publ. (in Russian).</w:t>
      </w:r>
    </w:p>
    <w:p w:rsidR="00037B19" w:rsidRDefault="00037B19" w:rsidP="00037B19">
      <w:pPr>
        <w:pStyle w:val="A42"/>
      </w:pPr>
      <w:r>
        <w:t>About the Authors:</w:t>
      </w:r>
    </w:p>
    <w:p w:rsidR="00037B19" w:rsidRDefault="00037B19" w:rsidP="00037B19">
      <w:pPr>
        <w:pStyle w:val="A43"/>
        <w:rPr>
          <w:lang w:val="en-US"/>
        </w:rPr>
      </w:pPr>
      <w:r>
        <w:rPr>
          <w:b/>
          <w:bCs/>
          <w:lang w:val="en-US"/>
        </w:rPr>
        <w:t>Vybornov Aleksandr A.,</w:t>
      </w:r>
      <w:r>
        <w:rPr>
          <w:lang w:val="en-US"/>
        </w:rPr>
        <w:t xml:space="preserve"> Doctor of Historical Sciences, professor, Samara State University of Social Sciences and Education. Maxim Gorky St., 65/67, Samara, 443099, Russian Federation; E-mail: vibornov_kin@mail.ru.</w:t>
      </w:r>
    </w:p>
    <w:p w:rsidR="00037B19" w:rsidRDefault="00037B19" w:rsidP="00037B19">
      <w:pPr>
        <w:pStyle w:val="A43"/>
        <w:rPr>
          <w:lang w:val="en-US"/>
        </w:rPr>
      </w:pPr>
      <w:r>
        <w:rPr>
          <w:b/>
          <w:bCs/>
          <w:lang w:val="en-US"/>
        </w:rPr>
        <w:t>Doga Natalia S.,</w:t>
      </w:r>
      <w:r>
        <w:rPr>
          <w:lang w:val="en-US"/>
        </w:rPr>
        <w:t xml:space="preserve"> </w:t>
      </w:r>
      <w:r>
        <w:t>С</w:t>
      </w:r>
      <w:r>
        <w:rPr>
          <w:lang w:val="en-US"/>
        </w:rPr>
        <w:t>andidate of historical sciences, senior lecturer, Samara State University of Social Sciences and Education. Maxim Gorky St., 65/67, Samara, 443099, Russian Federation;  E-mail: natalidoga@yandex.ru.</w:t>
      </w:r>
    </w:p>
    <w:p w:rsidR="00037B19" w:rsidRDefault="00037B19" w:rsidP="00037B19">
      <w:pPr>
        <w:pStyle w:val="A43"/>
        <w:rPr>
          <w:lang w:val="en-US"/>
        </w:rPr>
      </w:pPr>
      <w:r>
        <w:rPr>
          <w:b/>
          <w:bCs/>
          <w:lang w:val="en-US"/>
        </w:rPr>
        <w:t>Gilyazov Filat F.</w:t>
      </w:r>
      <w:r>
        <w:rPr>
          <w:lang w:val="en-US"/>
        </w:rPr>
        <w:t xml:space="preserve">, researcher of the </w:t>
      </w:r>
      <w:r>
        <w:rPr>
          <w:rStyle w:val="anegp0gi0b9av8jahpyh"/>
          <w:lang w:val="en-US"/>
        </w:rPr>
        <w:t>scientific</w:t>
      </w:r>
      <w:r>
        <w:rPr>
          <w:lang w:val="en-US"/>
        </w:rPr>
        <w:t xml:space="preserve"> and </w:t>
      </w:r>
      <w:r>
        <w:rPr>
          <w:rStyle w:val="anegp0gi0b9av8jahpyh"/>
          <w:lang w:val="en-US"/>
        </w:rPr>
        <w:t>research</w:t>
      </w:r>
      <w:r>
        <w:rPr>
          <w:lang w:val="en-US"/>
        </w:rPr>
        <w:t xml:space="preserve"> </w:t>
      </w:r>
      <w:r>
        <w:rPr>
          <w:rStyle w:val="anegp0gi0b9av8jahpyh"/>
          <w:lang w:val="en-US"/>
        </w:rPr>
        <w:t>part,</w:t>
      </w:r>
      <w:r>
        <w:rPr>
          <w:lang w:val="en-US"/>
        </w:rPr>
        <w:t xml:space="preserve"> Samara State University of Social Sciences and Education. Maxim Gorky St., 65/67, Samara, 443099, Russian Federation; E-mail:  </w:t>
      </w:r>
      <w:r>
        <w:rPr>
          <w:rStyle w:val="a6"/>
          <w:lang w:val="en-US"/>
        </w:rPr>
        <w:t>filatgiljazov12@gmail.com</w:t>
      </w:r>
      <w:r>
        <w:rPr>
          <w:lang w:val="en-US"/>
        </w:rPr>
        <w:t>.</w:t>
      </w:r>
    </w:p>
    <w:p w:rsidR="00037B19" w:rsidRDefault="00037B19" w:rsidP="00037B19">
      <w:pPr>
        <w:pStyle w:val="A43"/>
        <w:rPr>
          <w:lang w:val="en-US"/>
        </w:rPr>
      </w:pPr>
      <w:r>
        <w:rPr>
          <w:b/>
          <w:bCs/>
          <w:lang w:val="en-US"/>
        </w:rPr>
        <w:t>Yudin Aleksandr I.</w:t>
      </w:r>
      <w:r>
        <w:rPr>
          <w:lang w:val="en-US"/>
        </w:rPr>
        <w:t>, doctor of historical sciences, deputy director for scientific work; Research Center for the Preservation of Cultural Heritage E-mail: aleyudin@yandex.ru.</w:t>
      </w:r>
    </w:p>
    <w:p w:rsidR="00037B19" w:rsidRDefault="00037B19" w:rsidP="00037B19">
      <w:pPr>
        <w:pStyle w:val="A43"/>
        <w:rPr>
          <w:lang w:val="en-US"/>
        </w:rPr>
      </w:pPr>
      <w:r>
        <w:rPr>
          <w:b/>
          <w:bCs/>
          <w:lang w:val="en-US"/>
        </w:rPr>
        <w:t>Kulkova Marianna A.</w:t>
      </w:r>
      <w:r>
        <w:rPr>
          <w:lang w:val="en-US"/>
        </w:rPr>
        <w:t xml:space="preserve">, doctor of geological and mineralogical sciences, professor of Geology and Geoecology Department; Herzen State Pedagogical University of Russia, nab. Moyki, 48/12, St. Petersburg, 191186, Russian E-mail: </w:t>
      </w:r>
      <w:r>
        <w:rPr>
          <w:rStyle w:val="a6"/>
          <w:lang w:val="en-US"/>
        </w:rPr>
        <w:t>kulkova@mail.ru</w:t>
      </w:r>
      <w:r>
        <w:rPr>
          <w:lang w:val="en-US"/>
        </w:rPr>
        <w:t>.</w:t>
      </w:r>
    </w:p>
    <w:p w:rsidR="00037B19" w:rsidRDefault="00037B19" w:rsidP="00037B19">
      <w:pPr>
        <w:pStyle w:val="A43"/>
      </w:pPr>
      <w:r>
        <w:rPr>
          <w:lang w:val="en-US"/>
        </w:rPr>
        <w:t xml:space="preserve"> </w:t>
      </w:r>
      <w:r>
        <w:rPr>
          <w:b/>
          <w:bCs/>
          <w:lang w:val="en-US"/>
        </w:rPr>
        <w:t xml:space="preserve">Parhomchuk Ekaterina V., </w:t>
      </w:r>
      <w:r>
        <w:rPr>
          <w:lang w:val="en-US"/>
        </w:rPr>
        <w:t>Candidate of Chemical Sciences,</w:t>
      </w:r>
      <w:r>
        <w:rPr>
          <w:b/>
          <w:bCs/>
          <w:lang w:val="en-US"/>
        </w:rPr>
        <w:t xml:space="preserve"> </w:t>
      </w:r>
      <w:r>
        <w:rPr>
          <w:lang w:val="en-US"/>
        </w:rPr>
        <w:t xml:space="preserve">Laboratory of isotope research «AIsotope».  Akademika Lavrentieva ave. 17, 630090, Novosibirsk, Russian Federation; </w:t>
      </w:r>
      <w:r>
        <w:rPr>
          <w:rStyle w:val="a6"/>
          <w:lang w:val="en-US"/>
        </w:rPr>
        <w:t>evparkhom@yandex.ru</w:t>
      </w:r>
      <w:r>
        <w:rPr>
          <w:lang w:val="en-US"/>
        </w:rPr>
        <w:t>.</w:t>
      </w:r>
    </w:p>
    <w:p w:rsidR="00037B19" w:rsidRPr="00037B19" w:rsidRDefault="00037B19" w:rsidP="00037B19">
      <w:pPr>
        <w:pStyle w:val="A41"/>
        <w:rPr>
          <w:lang w:val="ru-RU"/>
        </w:rPr>
      </w:pPr>
      <w:bookmarkStart w:id="0" w:name="_GoBack"/>
      <w:bookmarkEnd w:id="0"/>
    </w:p>
    <w:sectPr w:rsidR="00037B19" w:rsidRPr="00037B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CF6"/>
    <w:rsid w:val="00037B19"/>
    <w:rsid w:val="000A10C4"/>
    <w:rsid w:val="00787CF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абзац]"/>
    <w:basedOn w:val="a"/>
    <w:uiPriority w:val="99"/>
    <w:rsid w:val="00037B19"/>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A4">
    <w:name w:val="Заголовок (A4 В)"/>
    <w:basedOn w:val="a"/>
    <w:uiPriority w:val="99"/>
    <w:rsid w:val="00037B19"/>
    <w:pPr>
      <w:autoSpaceDE w:val="0"/>
      <w:autoSpaceDN w:val="0"/>
      <w:adjustRightInd w:val="0"/>
      <w:spacing w:after="283" w:line="320" w:lineRule="atLeast"/>
      <w:jc w:val="center"/>
      <w:textAlignment w:val="center"/>
    </w:pPr>
    <w:rPr>
      <w:rFonts w:ascii="Times New Roman" w:hAnsi="Times New Roman" w:cs="Times New Roman"/>
      <w:b/>
      <w:bCs/>
      <w:caps/>
      <w:color w:val="000000"/>
      <w:sz w:val="28"/>
      <w:szCs w:val="28"/>
    </w:rPr>
  </w:style>
  <w:style w:type="paragraph" w:customStyle="1" w:styleId="A40">
    <w:name w:val="Автор (A4 В)"/>
    <w:basedOn w:val="A4"/>
    <w:uiPriority w:val="99"/>
    <w:rsid w:val="00037B19"/>
    <w:pPr>
      <w:spacing w:line="280" w:lineRule="atLeast"/>
    </w:pPr>
    <w:rPr>
      <w:caps w:val="0"/>
      <w:sz w:val="26"/>
      <w:szCs w:val="26"/>
    </w:rPr>
  </w:style>
  <w:style w:type="paragraph" w:customStyle="1" w:styleId="A41">
    <w:name w:val="Аннот+кл сл (A4 В)"/>
    <w:basedOn w:val="a3"/>
    <w:uiPriority w:val="99"/>
    <w:rsid w:val="00037B19"/>
    <w:pPr>
      <w:spacing w:line="260" w:lineRule="atLeast"/>
      <w:ind w:firstLine="283"/>
      <w:jc w:val="both"/>
    </w:pPr>
    <w:rPr>
      <w:rFonts w:ascii="Times New Roman" w:hAnsi="Times New Roman" w:cs="Times New Roman"/>
      <w:sz w:val="22"/>
      <w:szCs w:val="22"/>
    </w:rPr>
  </w:style>
  <w:style w:type="character" w:styleId="a5">
    <w:name w:val="Strong"/>
    <w:basedOn w:val="a0"/>
    <w:uiPriority w:val="99"/>
    <w:qFormat/>
    <w:rsid w:val="00037B19"/>
    <w:rPr>
      <w:b/>
      <w:bCs/>
      <w:color w:val="000000"/>
      <w:w w:val="100"/>
    </w:rPr>
  </w:style>
  <w:style w:type="paragraph" w:customStyle="1" w:styleId="A42">
    <w:name w:val="Под под загол (A4 В)"/>
    <w:basedOn w:val="a"/>
    <w:uiPriority w:val="99"/>
    <w:rsid w:val="00037B19"/>
    <w:pPr>
      <w:autoSpaceDE w:val="0"/>
      <w:autoSpaceDN w:val="0"/>
      <w:adjustRightInd w:val="0"/>
      <w:spacing w:after="57" w:line="260" w:lineRule="atLeast"/>
      <w:ind w:left="510" w:hanging="510"/>
      <w:jc w:val="both"/>
      <w:textAlignment w:val="center"/>
    </w:pPr>
    <w:rPr>
      <w:rFonts w:ascii="Times New Roman" w:hAnsi="Times New Roman" w:cs="Times New Roman"/>
      <w:b/>
      <w:bCs/>
      <w:color w:val="000000"/>
      <w:sz w:val="24"/>
      <w:szCs w:val="24"/>
    </w:rPr>
  </w:style>
  <w:style w:type="paragraph" w:customStyle="1" w:styleId="A43">
    <w:name w:val="литература (A4 В)"/>
    <w:basedOn w:val="a"/>
    <w:uiPriority w:val="99"/>
    <w:rsid w:val="00037B19"/>
    <w:pPr>
      <w:autoSpaceDE w:val="0"/>
      <w:autoSpaceDN w:val="0"/>
      <w:adjustRightInd w:val="0"/>
      <w:spacing w:after="57" w:line="240" w:lineRule="atLeast"/>
      <w:ind w:firstLine="340"/>
      <w:jc w:val="both"/>
      <w:textAlignment w:val="center"/>
    </w:pPr>
    <w:rPr>
      <w:rFonts w:ascii="Times New Roman" w:hAnsi="Times New Roman" w:cs="Times New Roman"/>
      <w:color w:val="000000"/>
    </w:rPr>
  </w:style>
  <w:style w:type="character" w:styleId="a6">
    <w:name w:val="Hyperlink"/>
    <w:basedOn w:val="a0"/>
    <w:uiPriority w:val="99"/>
    <w:rsid w:val="00037B19"/>
    <w:rPr>
      <w:color w:val="0563C1"/>
      <w:w w:val="100"/>
      <w:u w:val="thick" w:color="0563C1"/>
    </w:rPr>
  </w:style>
  <w:style w:type="character" w:customStyle="1" w:styleId="ezkurwreuab5ozgtqnkl">
    <w:name w:val="ezkurwreuab5ozgtqnkl"/>
    <w:uiPriority w:val="99"/>
    <w:rsid w:val="00037B19"/>
    <w:rPr>
      <w:color w:val="000000"/>
      <w:w w:val="100"/>
    </w:rPr>
  </w:style>
  <w:style w:type="character" w:customStyle="1" w:styleId="FontStyle11">
    <w:name w:val="Font Style11"/>
    <w:uiPriority w:val="99"/>
    <w:rsid w:val="00037B19"/>
    <w:rPr>
      <w:rFonts w:ascii="Times New Roman" w:hAnsi="Times New Roman" w:cs="Times New Roman"/>
      <w:color w:val="000000"/>
      <w:w w:val="100"/>
      <w:sz w:val="20"/>
      <w:szCs w:val="20"/>
    </w:rPr>
  </w:style>
  <w:style w:type="character" w:customStyle="1" w:styleId="ypks7kbdpwfgdykd3qb9">
    <w:name w:val="ypks7kbdpwfgdykd3qb9"/>
    <w:uiPriority w:val="99"/>
    <w:rsid w:val="00037B19"/>
    <w:rPr>
      <w:color w:val="000000"/>
      <w:w w:val="100"/>
    </w:rPr>
  </w:style>
  <w:style w:type="character" w:customStyle="1" w:styleId="t">
    <w:name w:val="t"/>
    <w:uiPriority w:val="99"/>
    <w:rsid w:val="00037B19"/>
    <w:rPr>
      <w:rFonts w:ascii="Times New Roman" w:hAnsi="Times New Roman" w:cs="Times New Roman"/>
      <w:color w:val="000000"/>
      <w:w w:val="100"/>
    </w:rPr>
  </w:style>
  <w:style w:type="character" w:customStyle="1" w:styleId="anegp0gi0b9av8jahpyh">
    <w:name w:val="anegp0gi0b9av8jahpyh"/>
    <w:uiPriority w:val="99"/>
    <w:rsid w:val="00037B19"/>
    <w:rPr>
      <w:color w:val="000000"/>
      <w:w w:val="1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абзац]"/>
    <w:basedOn w:val="a"/>
    <w:uiPriority w:val="99"/>
    <w:rsid w:val="00037B19"/>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A4">
    <w:name w:val="Заголовок (A4 В)"/>
    <w:basedOn w:val="a"/>
    <w:uiPriority w:val="99"/>
    <w:rsid w:val="00037B19"/>
    <w:pPr>
      <w:autoSpaceDE w:val="0"/>
      <w:autoSpaceDN w:val="0"/>
      <w:adjustRightInd w:val="0"/>
      <w:spacing w:after="283" w:line="320" w:lineRule="atLeast"/>
      <w:jc w:val="center"/>
      <w:textAlignment w:val="center"/>
    </w:pPr>
    <w:rPr>
      <w:rFonts w:ascii="Times New Roman" w:hAnsi="Times New Roman" w:cs="Times New Roman"/>
      <w:b/>
      <w:bCs/>
      <w:caps/>
      <w:color w:val="000000"/>
      <w:sz w:val="28"/>
      <w:szCs w:val="28"/>
    </w:rPr>
  </w:style>
  <w:style w:type="paragraph" w:customStyle="1" w:styleId="A40">
    <w:name w:val="Автор (A4 В)"/>
    <w:basedOn w:val="A4"/>
    <w:uiPriority w:val="99"/>
    <w:rsid w:val="00037B19"/>
    <w:pPr>
      <w:spacing w:line="280" w:lineRule="atLeast"/>
    </w:pPr>
    <w:rPr>
      <w:caps w:val="0"/>
      <w:sz w:val="26"/>
      <w:szCs w:val="26"/>
    </w:rPr>
  </w:style>
  <w:style w:type="paragraph" w:customStyle="1" w:styleId="A41">
    <w:name w:val="Аннот+кл сл (A4 В)"/>
    <w:basedOn w:val="a3"/>
    <w:uiPriority w:val="99"/>
    <w:rsid w:val="00037B19"/>
    <w:pPr>
      <w:spacing w:line="260" w:lineRule="atLeast"/>
      <w:ind w:firstLine="283"/>
      <w:jc w:val="both"/>
    </w:pPr>
    <w:rPr>
      <w:rFonts w:ascii="Times New Roman" w:hAnsi="Times New Roman" w:cs="Times New Roman"/>
      <w:sz w:val="22"/>
      <w:szCs w:val="22"/>
    </w:rPr>
  </w:style>
  <w:style w:type="character" w:styleId="a5">
    <w:name w:val="Strong"/>
    <w:basedOn w:val="a0"/>
    <w:uiPriority w:val="99"/>
    <w:qFormat/>
    <w:rsid w:val="00037B19"/>
    <w:rPr>
      <w:b/>
      <w:bCs/>
      <w:color w:val="000000"/>
      <w:w w:val="100"/>
    </w:rPr>
  </w:style>
  <w:style w:type="paragraph" w:customStyle="1" w:styleId="A42">
    <w:name w:val="Под под загол (A4 В)"/>
    <w:basedOn w:val="a"/>
    <w:uiPriority w:val="99"/>
    <w:rsid w:val="00037B19"/>
    <w:pPr>
      <w:autoSpaceDE w:val="0"/>
      <w:autoSpaceDN w:val="0"/>
      <w:adjustRightInd w:val="0"/>
      <w:spacing w:after="57" w:line="260" w:lineRule="atLeast"/>
      <w:ind w:left="510" w:hanging="510"/>
      <w:jc w:val="both"/>
      <w:textAlignment w:val="center"/>
    </w:pPr>
    <w:rPr>
      <w:rFonts w:ascii="Times New Roman" w:hAnsi="Times New Roman" w:cs="Times New Roman"/>
      <w:b/>
      <w:bCs/>
      <w:color w:val="000000"/>
      <w:sz w:val="24"/>
      <w:szCs w:val="24"/>
    </w:rPr>
  </w:style>
  <w:style w:type="paragraph" w:customStyle="1" w:styleId="A43">
    <w:name w:val="литература (A4 В)"/>
    <w:basedOn w:val="a"/>
    <w:uiPriority w:val="99"/>
    <w:rsid w:val="00037B19"/>
    <w:pPr>
      <w:autoSpaceDE w:val="0"/>
      <w:autoSpaceDN w:val="0"/>
      <w:adjustRightInd w:val="0"/>
      <w:spacing w:after="57" w:line="240" w:lineRule="atLeast"/>
      <w:ind w:firstLine="340"/>
      <w:jc w:val="both"/>
      <w:textAlignment w:val="center"/>
    </w:pPr>
    <w:rPr>
      <w:rFonts w:ascii="Times New Roman" w:hAnsi="Times New Roman" w:cs="Times New Roman"/>
      <w:color w:val="000000"/>
    </w:rPr>
  </w:style>
  <w:style w:type="character" w:styleId="a6">
    <w:name w:val="Hyperlink"/>
    <w:basedOn w:val="a0"/>
    <w:uiPriority w:val="99"/>
    <w:rsid w:val="00037B19"/>
    <w:rPr>
      <w:color w:val="0563C1"/>
      <w:w w:val="100"/>
      <w:u w:val="thick" w:color="0563C1"/>
    </w:rPr>
  </w:style>
  <w:style w:type="character" w:customStyle="1" w:styleId="ezkurwreuab5ozgtqnkl">
    <w:name w:val="ezkurwreuab5ozgtqnkl"/>
    <w:uiPriority w:val="99"/>
    <w:rsid w:val="00037B19"/>
    <w:rPr>
      <w:color w:val="000000"/>
      <w:w w:val="100"/>
    </w:rPr>
  </w:style>
  <w:style w:type="character" w:customStyle="1" w:styleId="FontStyle11">
    <w:name w:val="Font Style11"/>
    <w:uiPriority w:val="99"/>
    <w:rsid w:val="00037B19"/>
    <w:rPr>
      <w:rFonts w:ascii="Times New Roman" w:hAnsi="Times New Roman" w:cs="Times New Roman"/>
      <w:color w:val="000000"/>
      <w:w w:val="100"/>
      <w:sz w:val="20"/>
      <w:szCs w:val="20"/>
    </w:rPr>
  </w:style>
  <w:style w:type="character" w:customStyle="1" w:styleId="ypks7kbdpwfgdykd3qb9">
    <w:name w:val="ypks7kbdpwfgdykd3qb9"/>
    <w:uiPriority w:val="99"/>
    <w:rsid w:val="00037B19"/>
    <w:rPr>
      <w:color w:val="000000"/>
      <w:w w:val="100"/>
    </w:rPr>
  </w:style>
  <w:style w:type="character" w:customStyle="1" w:styleId="t">
    <w:name w:val="t"/>
    <w:uiPriority w:val="99"/>
    <w:rsid w:val="00037B19"/>
    <w:rPr>
      <w:rFonts w:ascii="Times New Roman" w:hAnsi="Times New Roman" w:cs="Times New Roman"/>
      <w:color w:val="000000"/>
      <w:w w:val="100"/>
    </w:rPr>
  </w:style>
  <w:style w:type="character" w:customStyle="1" w:styleId="anegp0gi0b9av8jahpyh">
    <w:name w:val="anegp0gi0b9av8jahpyh"/>
    <w:uiPriority w:val="99"/>
    <w:rsid w:val="00037B19"/>
    <w:rPr>
      <w:color w:val="000000"/>
      <w:w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1464</Words>
  <Characters>8345</Characters>
  <Application>Microsoft Office Word</Application>
  <DocSecurity>0</DocSecurity>
  <Lines>69</Lines>
  <Paragraphs>19</Paragraphs>
  <ScaleCrop>false</ScaleCrop>
  <Company/>
  <LinksUpToDate>false</LinksUpToDate>
  <CharactersWithSpaces>9790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antonina</dc:creator>
  <cp:keywords/>
  <dc:description/>
  <cp:lastModifiedBy>antonina</cp:lastModifiedBy>
  <cp:revision>2</cp:revision>
  <dcterms:created xsi:type="dcterms:W3CDTF">2026-09-01T09:54:00Z</dcterms:created>
  <dcterms:modified xsi:type="dcterms:W3CDTF">2026-09-01T09:54:00Z</dcterms:modified>
</cp:coreProperties>
</file>